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word/charts/chart2.xml" ContentType="application/vnd.openxmlformats-officedocument.drawingml.chart+xml"/>
  <Override PartName="/word/charts/chart1.xml" ContentType="application/vnd.openxmlformats-officedocument.drawingml.chart+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pacing w:lineRule="auto" w:line="480" w:beforeAutospacing="1" w:afterAutospacing="1"/>
        <w:jc w:val="both"/>
        <w:outlineLvl w:val="1"/>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1"/>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1"/>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1"/>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1"/>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1"/>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1"/>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1"/>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1"/>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center"/>
        <w:outlineLvl w:val="1"/>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center"/>
        <w:outlineLvl w:val="1"/>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Presidential economic platform campaign</w:t>
      </w:r>
    </w:p>
    <w:p>
      <w:pPr>
        <w:pStyle w:val="Normal"/>
        <w:numPr>
          <w:ilvl w:val="0"/>
          <w:numId w:val="0"/>
        </w:numPr>
        <w:spacing w:lineRule="auto" w:line="480" w:beforeAutospacing="1" w:afterAutospacing="1"/>
        <w:jc w:val="center"/>
        <w:outlineLvl w:val="1"/>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Name</w:t>
      </w:r>
    </w:p>
    <w:p>
      <w:pPr>
        <w:pStyle w:val="Normal"/>
        <w:numPr>
          <w:ilvl w:val="0"/>
          <w:numId w:val="0"/>
        </w:numPr>
        <w:spacing w:lineRule="auto" w:line="480" w:beforeAutospacing="1" w:afterAutospacing="1"/>
        <w:jc w:val="center"/>
        <w:outlineLvl w:val="1"/>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Institution</w:t>
      </w:r>
    </w:p>
    <w:p>
      <w:pPr>
        <w:pStyle w:val="Normal"/>
        <w:numPr>
          <w:ilvl w:val="0"/>
          <w:numId w:val="0"/>
        </w:numPr>
        <w:spacing w:lineRule="auto" w:line="480" w:beforeAutospacing="1" w:afterAutospacing="1"/>
        <w:jc w:val="both"/>
        <w:outlineLvl w:val="1"/>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1"/>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1"/>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center"/>
        <w:outlineLvl w:val="1"/>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Introduction</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presidential economic platform for 2020 will focus on increasing the middle-class earnings to raise the growth. In carrying out the plan, the proposed policies will be attained including job market growth, GDP growth improvement, tackling income inequality and preventing potential economic crises.</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 xml:space="preserve">In the creation of fair growth, the president will increase the minimum wage of U.S to $15 per hour. He will also increase the workers' gains and expand the overtime. He is expected to encourage businesses in sharing profits with their workers. He aspires to invest in teachers and students while supporting collective bargaining and unions. The president intends to strengthen inexpensive care act, expand the job-training, plan to reduce healthcare and college costs while fighting the wage theft. </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president also plans to support the lasting growth by combating the quarterly capitalism. He will raise the short-run capital benefits taxes for people whose earning is $400,000 or over. He will retain the present 20 percent rate only for the assets that are held for over six years, those being held for three years will rise to 36 percent than those assets held for two years and below will be increased to 39.6 percent.</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president’s policy includes boosting the economic growth. He will offer the tax cuts towards the small businesses and middle class in establishing the infrastructure banking and funding the scientific research. He will also assist women in entering the workforce where he will make firms to pay the family leave. In achieving the policy, several plans will be put in place to assist including the college affordability where the government will use up to $35 billion annually in refinancing the student debt while paying states to warranty tuition. The president will allocate $27.5 billion annually for the national infrastructure to improve America’s water systems, internet, and transportation. He will also expand the childcare and early education by giving the country $28 billion in an expansion of early head start and offer preschool to the four-year children. In idea expansion, he will spend $ 17 billion annually in treating children with the disabilities. He also targets using $10 billion annually in the energy sector by repairing the oil pipelines to reduce the carbon emissions. He will also fund retirement and health plans for the coal employees.</w:t>
      </w:r>
    </w:p>
    <w:p>
      <w:pPr>
        <w:pStyle w:val="Normal"/>
        <w:spacing w:lineRule="auto" w:line="480"/>
        <w:jc w:val="both"/>
        <w:rPr>
          <w:rFonts w:ascii="Times New Roman" w:hAnsi="Times New Roman" w:cs="Times New Roman"/>
          <w:sz w:val="24"/>
          <w:szCs w:val="24"/>
        </w:rPr>
      </w:pPr>
      <w:r>
        <w:rPr/>
        <w:drawing>
          <wp:inline distT="0" distB="0" distL="0" distR="0">
            <wp:extent cx="4572000" cy="2743200"/>
            <wp:effectExtent l="0" t="0" r="0" b="0"/>
            <wp:docPr id="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2"/>
              </a:graphicData>
            </a:graphic>
          </wp:inline>
        </w:drawing>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In paying for the initiatives, he intends to raise part of the income taxes. He will add the 4% surcharge on earnings over $5 million annually. The president will mandate the 30% minimum tax charge for people earning $1 milling annually to enable him to restore the levels of the estate tax. He will also strengthen the reform act in ending the fear of too big in failing banks. The risk fee levy on banks with assets over $50 billion will be charged. Besides, banks having high debt rates or over-reliance on short-run funding. In extending the limitations statute for the financial crimes, CEO’s will be required to pay some fines levied on the companies.</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president has proposed tax is the exit tax on companies, which attempts the tax inversion in paying the U.S taxes on the deferred foreign incomes. By use of traders’ high-frequency tax, he will raise $90 billion annually.</w:t>
      </w:r>
    </w:p>
    <w:p>
      <w:pPr>
        <w:pStyle w:val="Normal"/>
        <w:spacing w:lineRule="auto" w:line="480"/>
        <w:jc w:val="both"/>
        <w:rPr>
          <w:rFonts w:ascii="Times New Roman" w:hAnsi="Times New Roman" w:cs="Times New Roman"/>
          <w:sz w:val="24"/>
          <w:szCs w:val="24"/>
        </w:rPr>
      </w:pPr>
      <w:r>
        <w:rPr/>
        <w:drawing>
          <wp:inline distT="0" distB="0" distL="0" distR="0">
            <wp:extent cx="4572000" cy="2743200"/>
            <wp:effectExtent l="0" t="0" r="0" b="0"/>
            <wp:docPr id="2"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3"/>
              </a:graphicData>
            </a:graphic>
          </wp:inline>
        </w:drawing>
      </w:r>
    </w:p>
    <w:p>
      <w:pPr>
        <w:pStyle w:val="Normal"/>
        <w:spacing w:lineRule="auto" w:line="48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ab/>
        <w:t>The president opposes trans-pacific partnership as he says that it will go to the extent of protecting national security, raising wages, and producing new jobs. He will combat the terrorism with enhanced intelligence service other than troops. For instance, agencies will use the posts of social media in identifying terrorists.  The application of visa will need full screening for people who had visited the terrorist nations. The president plans to employ more officers in operations department and linguistics in intelligence agencies of U.S.</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The president proposes to lay the pillars in his campaign which will enable him to acquire the presidential seat in 2020. He intends to form the future economy and not the past economy laid by the other US presidents. The revenue inequality seems to depress the demand while slowing growth, President will make fund executives tax rates of income on the capital gains and focus on job creation plan. He plans to strengthen the families through the emphasis on education, enrichment, and healthcare by making public college free. He will also support the agreements of free trade to establish the global leadership. He will develop the complete defense solution, which involves diplomacy as the military might. He will also alter his campaign financing.</w:t>
      </w:r>
    </w:p>
    <w:p>
      <w:pPr>
        <w:pStyle w:val="Normal"/>
        <w:spacing w:lineRule="auto" w:line="480"/>
        <w:ind w:firstLine="720"/>
        <w:jc w:val="both"/>
        <w:rPr>
          <w:rFonts w:ascii="Times New Roman" w:hAnsi="Times New Roman" w:cs="Times New Roman"/>
          <w:sz w:val="24"/>
          <w:szCs w:val="24"/>
        </w:rPr>
      </w:pPr>
      <w:r>
        <w:rPr>
          <w:rFonts w:cs="Times New Roman" w:ascii="Times New Roman" w:hAnsi="Times New Roman"/>
          <w:sz w:val="24"/>
          <w:szCs w:val="24"/>
        </w:rPr>
        <w:t>Besides, the president plans to create the balanced budget by offsetting any new expenses with added spending cuts or revenues. He plans to offer the health tax credits while expanding private plans applied by Medicare or Congress to everyone. He plans to create the $60 billion energy fund strategy as the optional energy agency while providing incentives for optional energy use. The president intends to double the enforcement unit size in representative’s office of U.S trade to raise compliance with the trade agreements. The plan will improve the economy of America thus reducing the poverty levels and increasing the self-dependency rates in the nation. The president’s plans will enable the nation to avoid the economic crises that are being experienced in the country.</w:t>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t>Conclusion</w:t>
      </w:r>
    </w:p>
    <w:p>
      <w:pPr>
        <w:pStyle w:val="Normal"/>
        <w:spacing w:lineRule="auto" w:line="480" w:before="0" w:after="200"/>
        <w:ind w:firstLine="720"/>
        <w:jc w:val="both"/>
        <w:rPr/>
      </w:pPr>
      <w:r>
        <w:rPr>
          <w:rFonts w:cs="Times New Roman" w:ascii="Times New Roman" w:hAnsi="Times New Roman"/>
          <w:sz w:val="24"/>
          <w:szCs w:val="24"/>
        </w:rPr>
        <w:t>The changes will increase the growth of U.S to around 5 percent annually while creating 26 million jobs. Based on the plans of the president, most economists might argue that it will not be achieved since the target seems to be overly ambitious as the US will be required to grow faster than the global economy and because the plan will reduce growth while leading to recession. It will be contrary to believes, as markets will favor the president on the economic outcome based on the workforce and the plans made for the tax cuts. The economic outcomes seem to be well managed based on the calculations explained. The president intends to make the complete version plan to frighten US finance and business and the entire world while maintaining its achievement plans to the US economy and for the benefit of US citizens.</w:t>
      </w:r>
    </w:p>
    <w:sectPr>
      <w:headerReference w:type="default" r:id="rId4"/>
      <w:headerReference w:type="first" r:id="rId5"/>
      <w:type w:val="nextPage"/>
      <w:pgSz w:w="12240" w:h="15840"/>
      <w:pgMar w:left="1440" w:right="1440" w:header="720" w:top="1440" w:footer="0" w:bottom="1440" w:gutter="0"/>
      <w:pgNumType w:fmt="decimal"/>
      <w:formProt w:val="false"/>
      <w:titlePg/>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945517257"/>
    </w:sdtPr>
    <w:sdtContent>
      <w:p>
        <w:pPr>
          <w:pStyle w:val="Header"/>
          <w:jc w:val="right"/>
          <w:rPr/>
        </w:pPr>
        <w:r>
          <w:rPr/>
          <w:t xml:space="preserve">PRESIDENTIAL ECONOMIC PLATFORM CAMPAIGN                                                                                               </w:t>
        </w:r>
        <w:r>
          <w:rPr/>
          <w:fldChar w:fldCharType="begin"/>
        </w:r>
        <w:r>
          <w:instrText> PAGE </w:instrText>
        </w:r>
        <w:r>
          <w:fldChar w:fldCharType="separate"/>
        </w:r>
        <w:r>
          <w:t>6</w:t>
        </w:r>
        <w:r>
          <w:fldChar w:fldCharType="end"/>
        </w:r>
      </w:p>
      <w:p>
        <w:pPr>
          <w:pStyle w:val="Header"/>
          <w:rPr/>
        </w:pPr>
        <w:r>
          <w:rPr/>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767708691"/>
    </w:sdtPr>
    <w:sdtContent>
      <w:p>
        <w:pPr>
          <w:pStyle w:val="Header"/>
          <w:jc w:val="right"/>
          <w:rPr/>
        </w:pPr>
        <w:r>
          <w:rPr/>
          <w:t xml:space="preserve">Running head: PRESIDENTIAL ECONOMIC PLATFORM CAMPAIGN                                                                     </w:t>
        </w:r>
        <w:r>
          <w:rPr/>
          <w:fldChar w:fldCharType="begin"/>
        </w:r>
        <w:r>
          <w:instrText> PAGE </w:instrText>
        </w:r>
        <w:r>
          <w:fldChar w:fldCharType="separate"/>
        </w:r>
        <w:r>
          <w:t>1</w:t>
        </w:r>
        <w:r>
          <w:fldChar w:fldCharType="end"/>
        </w:r>
      </w:p>
      <w:p>
        <w:pPr>
          <w:pStyle w:val="Header"/>
          <w:rPr/>
        </w:pPr>
        <w:r>
          <w:rPr/>
        </w:r>
      </w:p>
    </w:sdtContent>
  </w:sdt>
</w:hdr>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52851"/>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US" w:eastAsia="en-US" w:bidi="ar-SA"/>
    </w:rPr>
  </w:style>
  <w:style w:type="paragraph" w:styleId="Heading2">
    <w:name w:val="Heading 2"/>
    <w:basedOn w:val="Normal"/>
    <w:link w:val="Heading2Char"/>
    <w:uiPriority w:val="9"/>
    <w:qFormat/>
    <w:rsid w:val="00241056"/>
    <w:pPr>
      <w:spacing w:lineRule="auto" w:line="240" w:beforeAutospacing="1" w:afterAutospacing="1"/>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qFormat/>
    <w:rPr/>
  </w:style>
  <w:style w:type="character" w:styleId="Heading2Char" w:customStyle="1">
    <w:name w:val="Heading 2 Char"/>
    <w:basedOn w:val="DefaultParagraphFont"/>
    <w:link w:val="Heading2"/>
    <w:uiPriority w:val="9"/>
    <w:qFormat/>
    <w:rsid w:val="00241056"/>
    <w:rPr>
      <w:rFonts w:ascii="Times New Roman" w:hAnsi="Times New Roman" w:eastAsia="Times New Roman" w:cs="Times New Roman"/>
      <w:b/>
      <w:bCs/>
      <w:sz w:val="36"/>
      <w:szCs w:val="36"/>
    </w:rPr>
  </w:style>
  <w:style w:type="character" w:styleId="BalloonTextChar" w:customStyle="1">
    <w:name w:val="Balloon Text Char"/>
    <w:basedOn w:val="DefaultParagraphFont"/>
    <w:link w:val="BalloonText"/>
    <w:uiPriority w:val="99"/>
    <w:semiHidden/>
    <w:qFormat/>
    <w:rsid w:val="00907784"/>
    <w:rPr>
      <w:rFonts w:ascii="Tahoma" w:hAnsi="Tahoma" w:cs="Tahoma"/>
      <w:sz w:val="16"/>
      <w:szCs w:val="16"/>
    </w:rPr>
  </w:style>
  <w:style w:type="character" w:styleId="HeaderChar" w:customStyle="1">
    <w:name w:val="Header Char"/>
    <w:basedOn w:val="DefaultParagraphFont"/>
    <w:link w:val="Header"/>
    <w:uiPriority w:val="99"/>
    <w:qFormat/>
    <w:rsid w:val="00c666aa"/>
    <w:rPr/>
  </w:style>
  <w:style w:type="character" w:styleId="FooterChar" w:customStyle="1">
    <w:name w:val="Footer Char"/>
    <w:basedOn w:val="DefaultParagraphFont"/>
    <w:link w:val="Footer"/>
    <w:uiPriority w:val="99"/>
    <w:semiHidden/>
    <w:qFormat/>
    <w:rsid w:val="00c666aa"/>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BalloonText">
    <w:name w:val="Balloon Text"/>
    <w:basedOn w:val="Normal"/>
    <w:link w:val="BalloonTextChar"/>
    <w:uiPriority w:val="99"/>
    <w:semiHidden/>
    <w:unhideWhenUsed/>
    <w:qFormat/>
    <w:rsid w:val="00907784"/>
    <w:pPr>
      <w:spacing w:lineRule="auto" w:line="240" w:before="0" w:after="0"/>
    </w:pPr>
    <w:rPr>
      <w:rFonts w:ascii="Tahoma" w:hAnsi="Tahoma" w:cs="Tahoma"/>
      <w:sz w:val="16"/>
      <w:szCs w:val="16"/>
    </w:rPr>
  </w:style>
  <w:style w:type="paragraph" w:styleId="Header">
    <w:name w:val="Header"/>
    <w:basedOn w:val="Normal"/>
    <w:link w:val="HeaderChar"/>
    <w:uiPriority w:val="99"/>
    <w:unhideWhenUsed/>
    <w:rsid w:val="00c666aa"/>
    <w:pPr>
      <w:tabs>
        <w:tab w:val="center" w:pos="4680" w:leader="none"/>
        <w:tab w:val="right" w:pos="9360" w:leader="none"/>
      </w:tabs>
      <w:spacing w:lineRule="auto" w:line="240" w:before="0" w:after="0"/>
    </w:pPr>
    <w:rPr/>
  </w:style>
  <w:style w:type="paragraph" w:styleId="Footer">
    <w:name w:val="Footer"/>
    <w:basedOn w:val="Normal"/>
    <w:link w:val="FooterChar"/>
    <w:uiPriority w:val="99"/>
    <w:semiHidden/>
    <w:unhideWhenUsed/>
    <w:rsid w:val="00c666aa"/>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chart" Target="charts/chart1.xml"/><Relationship Id="rId3" Type="http://schemas.openxmlformats.org/officeDocument/2006/relationships/chart" Target="charts/chart2.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charts/chart1.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1" sz="1800" spc="-1" strike="noStrike">
                <a:solidFill>
                  <a:srgbClr val="000000"/>
                </a:solidFill>
                <a:uFill>
                  <a:solidFill>
                    <a:srgbClr val="ffffff"/>
                  </a:solidFill>
                </a:uFill>
                <a:latin typeface="Calibri"/>
              </a:defRPr>
            </a:pPr>
            <a:r>
              <a:rPr b="1" sz="1800" spc="-1" strike="noStrike">
                <a:solidFill>
                  <a:srgbClr val="000000"/>
                </a:solidFill>
                <a:uFill>
                  <a:solidFill>
                    <a:srgbClr val="ffffff"/>
                  </a:solidFill>
                </a:uFill>
                <a:latin typeface="Calibri"/>
              </a:rPr>
              <a:t>Growth of Job market</a:t>
            </a:r>
          </a:p>
        </c:rich>
      </c:tx>
      <c:overlay val="0"/>
    </c:title>
    <c:autoTitleDeleted val="0"/>
    <c:view3D>
      <c:rotX val="15"/>
      <c:rotY val="20"/>
      <c:rAngAx val="1"/>
      <c:perspective val="30"/>
    </c:view3D>
    <c:floor>
      <c:spPr>
        <a:noFill/>
        <a:ln w="9360">
          <a:solidFill>
            <a:srgbClr val="878787"/>
          </a:solidFill>
          <a:round/>
        </a:ln>
      </c:spPr>
    </c:floor>
    <c:backWall>
      <c:spPr>
        <a:noFill/>
        <a:ln w="9360">
          <a:solidFill>
            <a:srgbClr val="878787"/>
          </a:solidFill>
          <a:round/>
        </a:ln>
      </c:spPr>
    </c:backWall>
    <c:plotArea>
      <c:bar3DChart>
        <c:barDir val="bar"/>
        <c:grouping val="clustered"/>
        <c:varyColors val="0"/>
        <c:ser>
          <c:idx val="0"/>
          <c:order val="0"/>
          <c:tx>
            <c:strRef>
              <c:f>label 0</c:f>
              <c:strCache>
                <c:ptCount val="1"/>
                <c:pt idx="0">
                  <c:v>Year</c:v>
                </c:pt>
              </c:strCache>
            </c:strRef>
          </c:tx>
          <c:spPr>
            <a:solidFill>
              <a:srgbClr val="4f81bd"/>
            </a:solidFill>
            <a:ln>
              <a:noFill/>
            </a:ln>
          </c:spPr>
          <c:invertIfNegative val="0"/>
          <c:dLbls>
            <c:showLegendKey val="0"/>
            <c:showVal val="1"/>
            <c:showCatName val="0"/>
            <c:showSerName val="0"/>
            <c:showPercent val="0"/>
            <c:showLeaderLines val="0"/>
          </c:dLbls>
          <c:cat>
            <c:strRef>
              <c:f>categories</c:f>
              <c:strCache>
                <c:ptCount val="7"/>
                <c:pt idx="0">
                  <c:v>1</c:v>
                </c:pt>
                <c:pt idx="1">
                  <c:v>2</c:v>
                </c:pt>
                <c:pt idx="2">
                  <c:v>3</c:v>
                </c:pt>
                <c:pt idx="3">
                  <c:v>4</c:v>
                </c:pt>
                <c:pt idx="4">
                  <c:v>5</c:v>
                </c:pt>
                <c:pt idx="5">
                  <c:v>6</c:v>
                </c:pt>
                <c:pt idx="6">
                  <c:v>7</c:v>
                </c:pt>
              </c:strCache>
            </c:strRef>
          </c:cat>
          <c:val>
            <c:numRef>
              <c:f>0</c:f>
              <c:numCache>
                <c:formatCode>General</c:formatCode>
                <c:ptCount val="7"/>
                <c:pt idx="0">
                  <c:v>2020</c:v>
                </c:pt>
                <c:pt idx="1">
                  <c:v>2021</c:v>
                </c:pt>
                <c:pt idx="2">
                  <c:v>2022</c:v>
                </c:pt>
                <c:pt idx="3">
                  <c:v>2023</c:v>
                </c:pt>
                <c:pt idx="4">
                  <c:v>2024</c:v>
                </c:pt>
                <c:pt idx="5">
                  <c:v>2025</c:v>
                </c:pt>
                <c:pt idx="6">
                  <c:v>2026</c:v>
                </c:pt>
              </c:numCache>
            </c:numRef>
          </c:val>
        </c:ser>
        <c:ser>
          <c:idx val="1"/>
          <c:order val="1"/>
          <c:tx>
            <c:strRef>
              <c:f>label 1</c:f>
              <c:strCache>
                <c:ptCount val="1"/>
                <c:pt idx="0">
                  <c:v>GDP Growth rate% </c:v>
                </c:pt>
              </c:strCache>
            </c:strRef>
          </c:tx>
          <c:spPr>
            <a:solidFill>
              <a:srgbClr val="c0504d"/>
            </a:solidFill>
            <a:ln>
              <a:noFill/>
            </a:ln>
          </c:spPr>
          <c:invertIfNegative val="0"/>
          <c:dLbls>
            <c:showLegendKey val="0"/>
            <c:showVal val="1"/>
            <c:showCatName val="0"/>
            <c:showSerName val="0"/>
            <c:showPercent val="0"/>
            <c:showLeaderLines val="0"/>
          </c:dLbls>
          <c:cat>
            <c:strRef>
              <c:f>categories</c:f>
              <c:strCache>
                <c:ptCount val="7"/>
                <c:pt idx="0">
                  <c:v>1</c:v>
                </c:pt>
                <c:pt idx="1">
                  <c:v>2</c:v>
                </c:pt>
                <c:pt idx="2">
                  <c:v>3</c:v>
                </c:pt>
                <c:pt idx="3">
                  <c:v>4</c:v>
                </c:pt>
                <c:pt idx="4">
                  <c:v>5</c:v>
                </c:pt>
                <c:pt idx="5">
                  <c:v>6</c:v>
                </c:pt>
                <c:pt idx="6">
                  <c:v>7</c:v>
                </c:pt>
              </c:strCache>
            </c:strRef>
          </c:cat>
          <c:val>
            <c:numRef>
              <c:f>1</c:f>
              <c:numCache>
                <c:formatCode>General</c:formatCode>
                <c:ptCount val="7"/>
                <c:pt idx="0">
                  <c:v>2.4</c:v>
                </c:pt>
                <c:pt idx="1">
                  <c:v>3.4</c:v>
                </c:pt>
                <c:pt idx="2">
                  <c:v>3.7</c:v>
                </c:pt>
                <c:pt idx="3">
                  <c:v>4.2</c:v>
                </c:pt>
                <c:pt idx="4">
                  <c:v>5.5</c:v>
                </c:pt>
                <c:pt idx="5">
                  <c:v>6</c:v>
                </c:pt>
                <c:pt idx="6">
                  <c:v>7</c:v>
                </c:pt>
              </c:numCache>
            </c:numRef>
          </c:val>
        </c:ser>
        <c:gapWidth val="150"/>
        <c:shape val="box"/>
        <c:axId val="92286650"/>
        <c:axId val="19794125"/>
        <c:axId val="0"/>
      </c:bar3DChart>
      <c:catAx>
        <c:axId val="92286650"/>
        <c:scaling>
          <c:orientation val="minMax"/>
        </c:scaling>
        <c:delete val="0"/>
        <c:axPos val="b"/>
        <c:numFmt formatCode="MM/DD/YYYY" sourceLinked="1"/>
        <c:majorTickMark val="none"/>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19794125"/>
        <c:crosses val="autoZero"/>
        <c:auto val="1"/>
        <c:lblAlgn val="ctr"/>
        <c:lblOffset val="100"/>
      </c:catAx>
      <c:valAx>
        <c:axId val="19794125"/>
        <c:scaling>
          <c:orientation val="minMax"/>
        </c:scaling>
        <c:delete val="1"/>
        <c:axPos val="l"/>
        <c:numFmt formatCode="General" sourceLinked="0"/>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92286650"/>
        <c:crosses val="autoZero"/>
        <c:crossBetween val="midCat"/>
      </c:valAx>
      <c:spPr>
        <a:noFill/>
        <a:ln w="9360">
          <a:solidFill>
            <a:srgbClr val="878787"/>
          </a:solidFill>
          <a:round/>
        </a:ln>
      </c:spPr>
    </c:plotArea>
    <c:legend>
      <c:legendPos val="t"/>
      <c:overlay val="0"/>
      <c:spPr>
        <a:noFill/>
        <a:ln>
          <a:noFill/>
        </a:ln>
      </c:spPr>
    </c:legend>
    <c:plotVisOnly val="1"/>
    <c:dispBlanksAs val="gap"/>
  </c:chart>
  <c:spPr>
    <a:solidFill>
      <a:srgbClr val="ffffff"/>
    </a:solidFill>
    <a:ln>
      <a:noFill/>
    </a:ln>
  </c:spPr>
</c:chartSpace>
</file>

<file path=word/charts/chart2.xml><?xml version="1.0" encoding="utf-8"?>
<c:chartSpace xmlns:c="http://schemas.openxmlformats.org/drawingml/2006/chart" xmlns:a="http://schemas.openxmlformats.org/drawingml/2006/main" xmlns:r="http://schemas.openxmlformats.org/officeDocument/2006/relationships">
  <c:lang val="en-US"/>
  <c:roundedCorners val="0"/>
  <c:chart>
    <c:title>
      <c:tx>
        <c:rich>
          <a:bodyPr rot="0"/>
          <a:lstStyle/>
          <a:p>
            <a:pPr>
              <a:defRPr b="1" sz="1800" spc="-1" strike="noStrike">
                <a:solidFill>
                  <a:srgbClr val="000000"/>
                </a:solidFill>
                <a:uFill>
                  <a:solidFill>
                    <a:srgbClr val="ffffff"/>
                  </a:solidFill>
                </a:uFill>
                <a:latin typeface="Calibri"/>
              </a:defRPr>
            </a:pPr>
            <a:r>
              <a:rPr b="1" sz="1800" spc="-1" strike="noStrike">
                <a:solidFill>
                  <a:srgbClr val="000000"/>
                </a:solidFill>
                <a:uFill>
                  <a:solidFill>
                    <a:srgbClr val="ffffff"/>
                  </a:solidFill>
                </a:uFill>
                <a:latin typeface="Calibri"/>
              </a:rPr>
              <a:t>GDP Growth rate% </a:t>
            </a:r>
          </a:p>
        </c:rich>
      </c:tx>
      <c:overlay val="0"/>
    </c:title>
    <c:autoTitleDeleted val="0"/>
    <c:plotArea>
      <c:scatterChart>
        <c:scatterStyle val="lineMarker"/>
        <c:varyColors val="0"/>
        <c:ser>
          <c:idx val="0"/>
          <c:order val="0"/>
          <c:tx>
            <c:strRef>
              <c:f>label 0</c:f>
              <c:strCache>
                <c:ptCount val="1"/>
                <c:pt idx="0">
                  <c:v>GDP Growth rate% </c:v>
                </c:pt>
              </c:strCache>
            </c:strRef>
          </c:tx>
          <c:spPr>
            <a:solidFill>
              <a:srgbClr val="4a7ebb"/>
            </a:solidFill>
            <a:ln w="28440">
              <a:solidFill>
                <a:srgbClr val="4a7ebb"/>
              </a:solidFill>
              <a:round/>
            </a:ln>
          </c:spPr>
          <c:marker>
            <c:symbol val="square"/>
            <c:size val="5"/>
            <c:spPr>
              <a:solidFill>
                <a:srgbClr val="4a7ebb"/>
              </a:solidFill>
            </c:spPr>
          </c:marker>
          <c:dLbls>
            <c:showLegendKey val="0"/>
            <c:showVal val="0"/>
            <c:showCatName val="0"/>
            <c:showSerName val="0"/>
            <c:showPercent val="0"/>
            <c:showLeaderLines val="0"/>
          </c:dLbls>
          <c:xVal>
            <c:numRef>
              <c:f>1</c:f>
              <c:numCache>
                <c:formatCode>General</c:formatCode>
                <c:ptCount val="7"/>
                <c:pt idx="0">
                  <c:v>2020</c:v>
                </c:pt>
                <c:pt idx="1">
                  <c:v>2021</c:v>
                </c:pt>
                <c:pt idx="2">
                  <c:v>2022</c:v>
                </c:pt>
                <c:pt idx="3">
                  <c:v>2023</c:v>
                </c:pt>
                <c:pt idx="4">
                  <c:v>2024</c:v>
                </c:pt>
                <c:pt idx="5">
                  <c:v>2025</c:v>
                </c:pt>
                <c:pt idx="6">
                  <c:v>2026</c:v>
                </c:pt>
              </c:numCache>
            </c:numRef>
          </c:xVal>
          <c:yVal>
            <c:numRef>
              <c:f>0</c:f>
              <c:numCache>
                <c:formatCode>General</c:formatCode>
                <c:ptCount val="7"/>
                <c:pt idx="0">
                  <c:v>2.4</c:v>
                </c:pt>
                <c:pt idx="1">
                  <c:v>3.4</c:v>
                </c:pt>
                <c:pt idx="2">
                  <c:v>3.7</c:v>
                </c:pt>
                <c:pt idx="3">
                  <c:v>4.2</c:v>
                </c:pt>
                <c:pt idx="4">
                  <c:v>5.5</c:v>
                </c:pt>
                <c:pt idx="5">
                  <c:v>6</c:v>
                </c:pt>
                <c:pt idx="6">
                  <c:v>7</c:v>
                </c:pt>
              </c:numCache>
            </c:numRef>
          </c:yVal>
          <c:smooth val="0"/>
        </c:ser>
        <c:axId val="67333373"/>
        <c:axId val="50551626"/>
      </c:scatterChart>
      <c:valAx>
        <c:axId val="67333373"/>
        <c:scaling>
          <c:orientation val="minMax"/>
        </c:scaling>
        <c:delete val="0"/>
        <c:axPos val="b"/>
        <c:numFmt formatCode="General" sourceLinked="0"/>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50551626"/>
        <c:crosses val="autoZero"/>
        <c:crossBetween val="midCat"/>
      </c:valAx>
      <c:valAx>
        <c:axId val="50551626"/>
        <c:scaling>
          <c:orientation val="minMax"/>
        </c:scaling>
        <c:delete val="0"/>
        <c:axPos val="l"/>
        <c:majorGridlines>
          <c:spPr>
            <a:ln w="9360">
              <a:solidFill>
                <a:srgbClr val="878787"/>
              </a:solidFill>
              <a:round/>
            </a:ln>
          </c:spPr>
        </c:majorGridlines>
        <c:numFmt formatCode="General" sourceLinked="0"/>
        <c:majorTickMark val="out"/>
        <c:minorTickMark val="none"/>
        <c:tickLblPos val="nextTo"/>
        <c:spPr>
          <a:ln w="9360">
            <a:solidFill>
              <a:srgbClr val="878787"/>
            </a:solidFill>
            <a:round/>
          </a:ln>
        </c:spPr>
        <c:txPr>
          <a:bodyPr/>
          <a:p>
            <a:pPr>
              <a:defRPr b="0" sz="1000" spc="-1" strike="noStrike">
                <a:solidFill>
                  <a:srgbClr val="000000"/>
                </a:solidFill>
                <a:uFill>
                  <a:solidFill>
                    <a:srgbClr val="ffffff"/>
                  </a:solidFill>
                </a:uFill>
                <a:latin typeface="Calibri"/>
              </a:defRPr>
            </a:pPr>
          </a:p>
        </c:txPr>
        <c:crossAx val="67333373"/>
        <c:crosses val="autoZero"/>
        <c:crossBetween val="midCat"/>
      </c:valAx>
      <c:spPr>
        <a:solidFill>
          <a:srgbClr val="ffffff"/>
        </a:solidFill>
        <a:ln>
          <a:noFill/>
        </a:ln>
      </c:spPr>
    </c:plotArea>
    <c:legend>
      <c:legendPos val="r"/>
      <c:overlay val="0"/>
      <c:spPr>
        <a:noFill/>
        <a:ln>
          <a:noFill/>
        </a:ln>
      </c:spPr>
    </c:legend>
    <c:plotVisOnly val="1"/>
    <c:dispBlanksAs val="gap"/>
  </c:chart>
  <c:spPr>
    <a:solidFill>
      <a:srgbClr val="ffffff"/>
    </a:solidFill>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Application>LibreOffice/5.1.6.2$Linux_X86_64 LibreOffice_project/10m0$Build-2</Application>
  <Pages>6</Pages>
  <Words>937</Words>
  <CharactersWithSpaces>5347</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2017-12-01T23:13:00Z</dcterms:created>
  <dc:creator>ANNE</dc:creator>
  <dc:description/>
  <dc:language>en-US</dc:language>
  <cp:lastModifiedBy>ANNE</cp:lastModifiedBy>
  <dcterms:modified xsi:type="dcterms:W3CDTF">2017-12-02T02:51:00Z</dcterms:modified>
  <cp:revision>48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